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Информирование населения о результатах использования бюджетных ассигнований федерального бюджета, предусмотренных на реализацию инициатив Президента Российской Федерации</w:t>
      </w:r>
    </w:p>
    <w:tbl>
      <w:tblPr>
        <w:tblW w:w="14656" w:type="dxa"/>
        <w:tblInd w:w="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378"/>
        <w:gridCol w:w="4689"/>
        <w:gridCol w:w="2528"/>
        <w:gridCol w:w="2431"/>
        <w:gridCol w:w="1630"/>
      </w:tblGrid>
      <w:tr>
        <w:trPr>
          <w:trHeight w:val="543" w:hRule="atLeast"/>
        </w:trPr>
        <w:tc>
          <w:tcPr>
            <w:cnfStyle w:val="101000000000"/>
            <w:tcW w:w="5204" w:type="dxa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cnfStyle w:val="100000000000"/>
            <w:tcW w:w="3685" w:type="dxa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информирования населения (подробная информация)</w:t>
            </w:r>
          </w:p>
        </w:tc>
        <w:tc>
          <w:tcPr>
            <w:cnfStyle w:val="100000000000"/>
            <w:tcW w:w="2088" w:type="dxa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 из бюджета Санкт-Петербурга</w:t>
            </w:r>
          </w:p>
        </w:tc>
        <w:tc>
          <w:tcPr>
            <w:cnfStyle w:val="100000000000"/>
            <w:tcW w:w="2258" w:type="dxa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 из федерального бюджета</w:t>
            </w:r>
          </w:p>
        </w:tc>
        <w:tc>
          <w:tcPr>
            <w:cnfStyle w:val="100000000000"/>
            <w:tcW w:w="1421" w:type="dxa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по контракту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>
        <w:trPr>
          <w:trHeight w:val="671" w:hRule="atLeast"/>
        </w:trPr>
        <w:tc>
          <w:tcPr>
            <w:cnfStyle w:val="001000100000"/>
            <w:tcW w:w="14656" w:type="dxa"/>
            <w:gridSpan w:val="5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Целевая статья 015N451700 «Расходы на развитие материально-технической базы детских поликлиник и детских поликлинических отделений медицинских организаций»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>
        <w:trPr>
          <w:trHeight w:val="767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Приобретение риноларингофиброскопа</w:t>
            </w:r>
            <w:r>
              <w:rPr>
                <w:rFonts w:ascii="Times New Roman" w:hAnsi="Times New Roman"/>
              </w:rPr>
              <w:t xml:space="preserve"> для ДГП №73</w:t>
            </w:r>
          </w:p>
        </w:tc>
        <w:tc>
          <w:tcPr>
            <w:cnfStyle w:val="000000010000"/>
            <w:tcW w:w="3685" w:type="dxa"/>
            <w:vMerge w:val="restart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</w:t>
            </w:r>
            <w:r>
              <w:rPr>
                <w:rFonts w:ascii="Times New Roman" w:hAnsi="Times New Roman"/>
                <w:b/>
              </w:rPr>
              <w:t xml:space="preserve">СПб ГБУЗ «ДГП №73»: </w:t>
            </w:r>
            <w:r>
              <w:fldChar w:fldCharType="begin"/>
            </w:r>
            <w:r>
              <w:instrText xml:space="preserve"> HYPERLINK "https://dgp73.spb.ru/inaya-informatsiya/"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b/>
              </w:rPr>
              <w:t>htt</w:t>
            </w:r>
            <w:bookmarkStart w:id="0" w:name="_Hlt43111390"/>
            <w:bookmarkStart w:id="1" w:name="_Hlt43111391"/>
            <w:bookmarkStart w:id="2" w:name="_Hlt43111398"/>
            <w:r>
              <w:rPr>
                <w:rStyle w:val="Hyperlink"/>
                <w:rFonts w:ascii="Times New Roman" w:hAnsi="Times New Roman"/>
                <w:b/>
              </w:rPr>
              <w:t>p</w:t>
            </w:r>
            <w:bookmarkEnd w:id="0"/>
            <w:bookmarkEnd w:id="1"/>
            <w:bookmarkEnd w:id="2"/>
            <w:r>
              <w:rPr>
                <w:rStyle w:val="Hyperlink"/>
                <w:rFonts w:ascii="Times New Roman" w:hAnsi="Times New Roman"/>
                <w:b/>
              </w:rPr>
              <w:t>s://dgp73.spb.ru/inaya-informatsiya/</w:t>
            </w:r>
            <w:r>
              <w:fldChar w:fldCharType="end"/>
            </w: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293 576,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793 450,</w:t>
            </w:r>
            <w:r>
              <w:rPr>
                <w:rFonts w:ascii="Times New Roman" w:hAnsi="Times New Roman"/>
              </w:rPr>
              <w:t>00</w:t>
            </w:r>
          </w:p>
        </w:tc>
      </w:tr>
      <w:tr>
        <w:trPr>
          <w:trHeight w:val="1050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Приобретение дефибриллятора внешнего</w:t>
            </w:r>
            <w:r>
              <w:rPr>
                <w:rFonts w:ascii="Times New Roman" w:hAnsi="Times New Roman"/>
              </w:rPr>
              <w:t xml:space="preserve"> ДГП №73</w:t>
            </w: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87 727,68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51 522,60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139 250,28</w:t>
            </w:r>
          </w:p>
        </w:tc>
      </w:tr>
      <w:tr>
        <w:trPr>
          <w:trHeight w:val="207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Приобретение ультразвукового аппарата диагностического универсального  стационарного с 4-мя датчиками: конвексный, микроконвексный, линейный, фазированный для ДПО № 6</w:t>
            </w:r>
          </w:p>
        </w:tc>
        <w:tc>
          <w:tcPr>
            <w:cnfStyle w:val="00000001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3 436</w:t>
            </w:r>
            <w:r>
              <w:rPr>
                <w:rFonts w:ascii="Times New Roman" w:hAnsi="Times New Roman"/>
              </w:rPr>
              <w:t> 633,61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2 018 340,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5 454 </w:t>
            </w:r>
            <w:r>
              <w:rPr>
                <w:rFonts w:ascii="Times New Roman" w:hAnsi="Times New Roman"/>
              </w:rPr>
              <w:t>974,</w:t>
            </w:r>
            <w:r>
              <w:rPr>
                <w:rFonts w:ascii="Times New Roman" w:hAnsi="Times New Roman"/>
              </w:rPr>
              <w:t>00</w:t>
            </w:r>
          </w:p>
        </w:tc>
      </w:tr>
      <w:tr>
        <w:trPr>
          <w:trHeight w:val="2206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Приобретение ультразвукового аппарата диагностического портативного переносного с 3-мя датчиками: конвексный, линейный, фазированный</w:t>
            </w:r>
            <w:r>
              <w:rPr>
                <w:rFonts w:ascii="Times New Roman" w:hAnsi="Times New Roman"/>
              </w:rPr>
              <w:t xml:space="preserve"> для ДГП №73</w:t>
            </w: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2 186 948,60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1 284 398,40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3 471 347,00</w:t>
            </w:r>
          </w:p>
        </w:tc>
      </w:tr>
      <w:tr>
        <w:trPr>
          <w:trHeight w:val="106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Приобретение автоматического периметра для ДПО № 6</w:t>
            </w:r>
          </w:p>
        </w:tc>
        <w:tc>
          <w:tcPr>
            <w:cnfStyle w:val="00000001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437 </w:t>
            </w:r>
            <w:r>
              <w:rPr>
                <w:rFonts w:ascii="Times New Roman" w:hAnsi="Times New Roman"/>
              </w:rPr>
              <w:t>389,47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256 879,53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694 269,00</w:t>
            </w:r>
          </w:p>
        </w:tc>
      </w:tr>
      <w:tr>
        <w:trPr>
          <w:trHeight w:val="616" w:hRule="atLeast"/>
        </w:trPr>
        <w:tc>
          <w:tcPr>
            <w:cnfStyle w:val="001000100000"/>
            <w:tcW w:w="14656" w:type="dxa"/>
            <w:gridSpan w:val="5"/>
          </w:tcPr>
          <w:p>
            <w:pPr>
              <w:pStyle w:val="Normal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Целевая статья 015N751140 «Субсидия на реализацию регионального проекта «Создание единого цифрового контура здравоохранения на основе единой государственной информационной системы в сфере здравоохранения (ЕГИСЗ)»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>
        <w:trPr>
          <w:trHeight w:val="106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Поставка</w:t>
            </w:r>
            <w:r>
              <w:rPr>
                <w:rFonts w:ascii="Times New Roman" w:hAnsi="Times New Roman"/>
                <w:bCs/>
              </w:rPr>
              <w:t xml:space="preserve"> автоматизированных рабочих мест и многофункциональных устройств в учреждения здравоохранения, подведомственные администрации Невского района Санкт-Петербурга, в рамках реализации адресной программы по созданию единого цифрового контура в 2020 году</w:t>
            </w:r>
          </w:p>
        </w:tc>
        <w:tc>
          <w:tcPr>
            <w:cnfStyle w:val="000000010000"/>
            <w:tcW w:w="3685" w:type="dxa"/>
            <w:vMerge w:val="restart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</w:t>
            </w:r>
            <w:r>
              <w:rPr>
                <w:rFonts w:ascii="Times New Roman" w:hAnsi="Times New Roman"/>
                <w:b/>
              </w:rPr>
              <w:t xml:space="preserve">СПб ГБУЗ «ДГП №73»: </w:t>
            </w:r>
            <w:r>
              <w:fldChar w:fldCharType="begin"/>
            </w:r>
            <w:r>
              <w:instrText xml:space="preserve"> HYPERLINK "https://dgp73.spb.ru/inaya-informatsiya/"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b/>
              </w:rPr>
              <w:t>https://dgp73.spb.ru/inaya-informatsiya/</w:t>
            </w:r>
            <w:r>
              <w:fldChar w:fldCharType="end"/>
            </w: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4 373 719,17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4 202 200,75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8 575 919,92</w:t>
            </w:r>
          </w:p>
        </w:tc>
      </w:tr>
      <w:tr>
        <w:trPr>
          <w:trHeight w:val="1062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pacing w:val="2"/>
              </w:rPr>
              <w:t>Оказание услуг развития  медицинской информационной системы в медицинских организациях в целях реализации задач регионального проекта «Создание единого цифрового контура в здравоохранении на основе единой государственной системы в сфере здравоохранения (ЕГИСЗ)» с передачей неисключительной лицензии на модули интеграции МИС «АИС WEB ПОЛИКЛИНИКА» с РЕГИЗ</w:t>
            </w: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445 321,80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427 858,20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873 180,00</w:t>
            </w:r>
          </w:p>
        </w:tc>
      </w:tr>
      <w:tr>
        <w:trPr>
          <w:trHeight w:val="106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Поставка серверного оборудования для СПб ГБУЗ «ДГП №73» в 2020 году</w:t>
            </w:r>
          </w:p>
        </w:tc>
        <w:tc>
          <w:tcPr>
            <w:cnfStyle w:val="00000001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697 766,45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670 403,05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1 368 169,50</w:t>
            </w:r>
          </w:p>
        </w:tc>
      </w:tr>
      <w:tr>
        <w:trPr>
          <w:trHeight w:val="1062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tabs>
                <w:tab w:val="left" w:leader="none" w:pos="820"/>
                <w:tab w:val="left" w:leader="none" w:pos="900"/>
              </w:tabs>
              <w:spacing w:after="0" w:line="240" w:lineRule="auto"/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ыполн</w:t>
            </w:r>
            <w:r>
              <w:rPr>
                <w:rFonts w:ascii="Times New Roman" w:hAnsi="Times New Roman"/>
                <w:bCs/>
              </w:rPr>
              <w:t xml:space="preserve">ение </w:t>
            </w:r>
            <w:r>
              <w:rPr>
                <w:rFonts w:ascii="Times New Roman" w:hAnsi="Times New Roman"/>
                <w:bCs/>
              </w:rPr>
              <w:t xml:space="preserve"> работ </w:t>
            </w:r>
            <w:r>
              <w:rPr>
                <w:rFonts w:ascii="Times New Roman" w:eastAsia="Courier New" w:hAnsi="Times New Roman"/>
                <w:bCs/>
                <w:lang w:bidi="ru-RU" w:eastAsia="ru-RU"/>
              </w:rPr>
              <w:t>по монтажу ЛВС в зданиях СПб ГБУЗ «ДГП №73» в 2020 году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>по адресам:</w:t>
            </w:r>
          </w:p>
          <w:p>
            <w:pPr>
              <w:pStyle w:val="Normal"/>
              <w:tabs>
                <w:tab w:val="left" w:leader="none" w:pos="820"/>
                <w:tab w:val="left" w:leader="none" w:pos="900"/>
              </w:tabs>
              <w:spacing w:after="0" w:line="240" w:lineRule="auto"/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</w:pP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 xml:space="preserve">-ДГП №73 </w:t>
            </w:r>
            <w:r>
              <w:rPr>
                <w:rFonts w:ascii="Times New Roman" w:cs="Courier New" w:eastAsia="Courier New" w:hAnsi="Times New Roman"/>
                <w:bCs/>
                <w:color w:val="000000"/>
                <w:lang w:bidi="ru-RU" w:eastAsia="ru-RU"/>
              </w:rPr>
              <w:t>Санкт</w:t>
              <w:noBreakHyphen/>
              <w:t>Петербург, ул. Караваевская, д. 30</w:t>
            </w: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>;</w:t>
            </w:r>
          </w:p>
          <w:p>
            <w:pPr>
              <w:pStyle w:val="Normal"/>
              <w:tabs>
                <w:tab w:val="left" w:leader="none" w:pos="820"/>
                <w:tab w:val="left" w:leader="none" w:pos="900"/>
              </w:tabs>
              <w:spacing w:after="0" w:line="240" w:lineRule="auto"/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</w:pP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>-ДПО №6, г. Санкт-Петербурга, ул. Леснозаводская, д. 6, лит. А;</w:t>
            </w:r>
          </w:p>
          <w:p>
            <w:pPr>
              <w:pStyle w:val="Normal"/>
              <w:tabs>
                <w:tab w:val="left" w:leader="none" w:pos="820"/>
                <w:tab w:val="left" w:leader="none" w:pos="900"/>
              </w:tabs>
              <w:spacing w:after="0" w:line="240" w:lineRule="auto"/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</w:pP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>-ДПО №13, г. Санкт-Петербурга, ул. Пинегина, д. 10, лит. А;</w:t>
            </w:r>
          </w:p>
          <w:p>
            <w:pPr>
              <w:pStyle w:val="Normal"/>
              <w:tabs>
                <w:tab w:val="left" w:leader="none" w:pos="820"/>
                <w:tab w:val="left" w:leader="none" w:pos="900"/>
              </w:tabs>
              <w:spacing w:after="0" w:line="240" w:lineRule="auto"/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</w:pPr>
            <w:r>
              <w:rPr>
                <w:rFonts w:ascii="Times New Roman" w:cs="Courier New" w:eastAsia="Courier New" w:hAnsi="Times New Roman"/>
                <w:color w:val="000000"/>
                <w:lang w:bidi="ru-RU" w:eastAsia="ru-RU"/>
              </w:rPr>
              <w:t>-отделение ЛФК, г. Санкт-Петербурга, ул. Караваевская, д. 32, корп. 2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888 813,18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853 957,76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742 770,</w:t>
            </w: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</w:tr>
      <w:tr>
        <w:trPr>
          <w:trHeight w:val="106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Поставка многофункциональных устройств для СПб ГБУЗ «ДГП №73» в 2020 году</w:t>
            </w:r>
          </w:p>
        </w:tc>
        <w:tc>
          <w:tcPr>
            <w:cnfStyle w:val="00000001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141 525,00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135 975,00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277 500,00</w:t>
            </w:r>
          </w:p>
        </w:tc>
      </w:tr>
      <w:tr>
        <w:trPr>
          <w:trHeight w:val="1062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Поставка комплектов телемедицинского оборудования для СПб ГБУЗ "ДГП №73", в рамках реализации адресной программы по созданию единого цифрового контура в 2020 году</w:t>
            </w: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18 890,40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149,60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</w:t>
            </w: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,00</w:t>
            </w:r>
          </w:p>
        </w:tc>
      </w:tr>
      <w:tr>
        <w:trPr>
          <w:trHeight w:val="1062" w:hRule="atLeast"/>
        </w:trPr>
        <w:tc>
          <w:tcPr>
            <w:cnfStyle w:val="00100001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Оказание услуг по передаче неисключительных прав (лицензии) на использование программного средства криптографической защиты (СКЗИ КриптоПро CSP версии 5.0 бессрочная лицензия) для СПб ГБУЗ "ДГП №73", в рамках реализации адресной программы по созданию единого цифрового контура в 2020 году</w:t>
            </w:r>
          </w:p>
        </w:tc>
        <w:tc>
          <w:tcPr>
            <w:cnfStyle w:val="00000001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01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186 864,00</w:t>
            </w:r>
          </w:p>
        </w:tc>
        <w:tc>
          <w:tcPr>
            <w:cnfStyle w:val="00000001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179 536,00</w:t>
            </w:r>
          </w:p>
        </w:tc>
        <w:tc>
          <w:tcPr>
            <w:cnfStyle w:val="00000001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366 400,00</w:t>
            </w:r>
          </w:p>
        </w:tc>
      </w:tr>
      <w:tr>
        <w:trPr>
          <w:trHeight w:val="1062" w:hRule="atLeast"/>
        </w:trPr>
        <w:tc>
          <w:tcPr>
            <w:cnfStyle w:val="001000100000"/>
            <w:tcW w:w="5204" w:type="dxa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bCs/>
                <w:color w:val="000000"/>
              </w:rPr>
              <w:t>Оказание услуг по приобретению сертификатов ключей электронно-цифровой подписи для СПб ГБУЗ «ДГП №73» в 2020 году</w:t>
            </w:r>
          </w:p>
        </w:tc>
        <w:tc>
          <w:tcPr>
            <w:cnfStyle w:val="000000100000"/>
            <w:tcW w:w="3685" w:type="dxa"/>
            <w:vMerge w:val="continue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08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64 260,00</w:t>
            </w:r>
          </w:p>
        </w:tc>
        <w:tc>
          <w:tcPr>
            <w:cnfStyle w:val="000000100000"/>
            <w:tcW w:w="2258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61 740,00</w:t>
            </w:r>
          </w:p>
        </w:tc>
        <w:tc>
          <w:tcPr>
            <w:cnfStyle w:val="000000100000"/>
            <w:tcW w:w="1421" w:type="dxa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126 000,00</w:t>
            </w:r>
          </w:p>
        </w:tc>
      </w:tr>
    </w:tbl>
    <w:p>
      <w:pPr>
        <w:pStyle w:val="Normal"/>
        <w:rPr>
          <w:rFonts w:ascii="Times New Roman" w:hAnsi="Times New Roman"/>
          <w:b/>
          <w:sz w:val="28"/>
          <w:szCs w:val="28"/>
        </w:rPr>
      </w:pPr>
    </w:p>
    <w:p>
      <w:pPr>
        <w:pStyle w:val="Normal"/>
        <w:rPr>
          <w:rFonts w:ascii="Times New Roman" w:hAnsi="Times New Roman"/>
          <w:b/>
          <w:sz w:val="28"/>
          <w:szCs w:val="28"/>
        </w:rPr>
      </w:pP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Сайт </w:t>
      </w:r>
      <w:r>
        <w:fldChar w:fldCharType="begin"/>
      </w:r>
      <w:r>
        <w:instrText xml:space="preserve"> HYPERLINK "https://dgp73.spb.ru/inaya-informatsiya/" </w:instrText>
      </w:r>
      <w:r>
        <w:fldChar w:fldCharType="separate"/>
      </w:r>
      <w:r>
        <w:rPr>
          <w:rStyle w:val="Hyperlink"/>
          <w:rFonts w:ascii="Times New Roman" w:hAnsi="Times New Roman"/>
          <w:b/>
          <w:sz w:val="28"/>
          <w:szCs w:val="28"/>
        </w:rPr>
        <w:t>https://dgp73.spb.ru/inaya-informatsiya/</w:t>
      </w:r>
      <w:r>
        <w:fldChar w:fldCharType="end"/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</w:p>
    <w:p>
      <w:pPr>
        <w:pStyle w:val="Normal"/>
        <w:rPr>
          <w:rFonts w:ascii="Times New Roman" w:hAnsi="Times New Roman"/>
          <w:b/>
          <w:sz w:val="28"/>
          <w:szCs w:val="28"/>
        </w:rPr>
      </w:pPr>
    </w:p>
    <w:p>
      <w:pPr>
        <w:pStyle w:val="Normal"/>
        <w:rPr>
          <w:rFonts w:ascii="Times New Roman" w:hAnsi="Times New Roman"/>
          <w:b/>
          <w:sz w:val="28"/>
          <w:szCs w:val="28"/>
        </w:rPr>
      </w:pPr>
    </w:p>
    <w:sectPr>
      <w:pgSz w:w="16838" w:h="11906" w:orient="landscape"/>
      <w:pgMar w:top="709" w:right="1134" w:bottom="851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Calibri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>
      <w:spacing w:after="200" w:line="276" w:lineRule="auto"/>
    </w:pPr>
    <w:rPr>
      <w:sz w:val="22"/>
      <w:szCs w:val="22"/>
      <w:lang w:val="ru-RU" w:bidi="ar-SA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table" w:styleId="Tablegrid">
    <w:name w:val="Table grid"/>
    <w:basedOn w:val="Normaltable"/>
    <w:uiPriority w:val="5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rmal"/>
    <w:uiPriority w:val="1"/>
    <w:qFormat w:val="on"/>
    <w:pPr/>
    <w:rPr>
      <w:sz w:val="22"/>
      <w:szCs w:val="22"/>
      <w:lang w:val="ru-RU" w:bidi="ar-SA" w:eastAsia="en-US"/>
    </w:rPr>
  </w:style>
  <w:style w:type="character" w:styleId="Hyperlink">
    <w:name w:val="Hyperlink"/>
    <w:link w:val="Normal"/>
    <w:uiPriority w:val="99"/>
    <w:rPr>
      <w:color w:val="0000ff"/>
      <w:u w:val="single"/>
    </w:rPr>
  </w:style>
  <w:style w:type="character" w:styleId="Followedhyperlink">
    <w:name w:val="Followedhyperlink"/>
    <w:link w:val="Normal"/>
    <w:uiPriority w:val="99"/>
    <w:semiHidden w:val="on"/>
    <w:rPr>
      <w:color w:val="800080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Тимофеев</dc:creator>
  <cp:lastModifiedBy>Виталий Тимофеев</cp:lastModifiedBy>
</cp:coreProperties>
</file>